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b w:val="1"/>
          <w:sz w:val="30"/>
          <w:szCs w:val="30"/>
        </w:rPr>
      </w:pPr>
      <w:r w:rsidDel="00000000" w:rsidR="00000000" w:rsidRPr="00000000">
        <w:rPr>
          <w:b w:val="1"/>
          <w:sz w:val="30"/>
          <w:szCs w:val="30"/>
          <w:rtl w:val="0"/>
        </w:rPr>
        <w:t xml:space="preserve">FACT-SHEET - Gerald Drißner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BESONDERHEITEN JOURNALISMUS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Gerald Drißner legt bei seinen Texten besonderen Wert auf eine tiefe Recherche. Das Material formt er zu einer journalistischen Erzählung.</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Drißner erzählt gerne vom Leben einfacher Leute. Da er selbst in einem Bergdorf groß geworden und Arbeiterkind ist, fühlt er sich selten fremd.</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Drißner kann auf Arabisch recherchieren und ist in der arabischen Welt bestens vernetzt. Er hat mehr als zehn Jahre in arabischen und islamischen Ländern gelebt und weiß, wie man sich dort respektvoll bewegt.</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Drißner hat sich intensiv mit dem Islam auseinandergesetzt. Sein Ansatz war nicht wissenschaftlich; er wollte wissen, wie Menschen den Islam im Alltag leben und verstehen. Gerald versteht es, versteckte kulturelle und religiöse Codes zu entschlüsseln.</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Drißner kann Statistiken lesen, verstehen und erklären. In seinem Volkswirtschaftsstudium hat er sich auf die empirische Wirtschaftsforschung (Input-Output-Rechnung) spezialisiert.</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Drißner hat langjährige Zeitschriften-Erfahrung und ist geübt im Umgang mit schwierigen und hartnäckigen Recherchen.</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Drißner dokumentiert seine Recherchen lückenlos und transparent.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BESONDERHEITEN BÜCHER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Gerald Drißner schreibt Bücher über die arabische Sprache und Grammatik, Sachbücher über die arabische Welt und Reiseliteratur.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Drißner hat Arabisch ausschließlich in arabischen Ländern gelernt. Deshalb erklärt er Arabisch (und den Islam) aus arabischer Sicht und schließt so die Lücke zwischen westlicher und arabischer Herangehensweise. Seine Arabischbücher veröffentlicht er im Selbstverlag unter dem Label </w:t>
      </w:r>
      <w:r w:rsidDel="00000000" w:rsidR="00000000" w:rsidRPr="00000000">
        <w:rPr>
          <w:i w:val="1"/>
          <w:rtl w:val="0"/>
        </w:rPr>
        <w:t xml:space="preserve">pochemuchka-books</w:t>
      </w:r>
      <w:r w:rsidDel="00000000" w:rsidR="00000000" w:rsidRPr="00000000">
        <w:rPr>
          <w:rtl w:val="0"/>
        </w:rPr>
        <w:t xml:space="preserve">.</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Sein Buch </w:t>
      </w:r>
      <w:r w:rsidDel="00000000" w:rsidR="00000000" w:rsidRPr="00000000">
        <w:rPr>
          <w:i w:val="1"/>
          <w:rtl w:val="0"/>
        </w:rPr>
        <w:t xml:space="preserve">Arabic for Nerds one</w:t>
      </w:r>
      <w:r w:rsidDel="00000000" w:rsidR="00000000" w:rsidRPr="00000000">
        <w:rPr>
          <w:rtl w:val="0"/>
        </w:rPr>
        <w:t xml:space="preserve"> wurde vom King’s College London empfohlen.</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Im wissenschaftlichen Schreiben konzentriert sich Drißner auf Themen, die mit der arabischen und islamischen Welt zu tun haben.</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Drißners Stil ist eine Art Reise-Realismus. Er stellt sich selbst in den Hintergrund; es geht ihm nicht um Selbstfindung.</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Er reist mehrere Monate durch ein Land, um ein Gefühl dafür zu bekommen. Drißner beschreibt die Sorgen und Träume der Menschen; er erklärt dem Leser das, was er im Internet nicht findet: wie ein Land funktioniert und warum Dinge dort oft anders laufen, als wir es kennen.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PREISE UND AUSZEICHNUNGEN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Axel-Springer-Preis (2011; Kategorie Print: Wochen- und Monatspublikationen)</w:t>
      </w:r>
    </w:p>
    <w:p w:rsidR="00000000" w:rsidDel="00000000" w:rsidP="00000000" w:rsidRDefault="00000000" w:rsidRPr="00000000" w14:paraId="00000024">
      <w:pPr>
        <w:ind w:left="720" w:firstLine="0"/>
        <w:rPr/>
      </w:pPr>
      <w:r w:rsidDel="00000000" w:rsidR="00000000" w:rsidRPr="00000000">
        <w:rPr>
          <w:rtl w:val="0"/>
        </w:rPr>
        <w:t xml:space="preserve">Sein prämierter Text ("Glücklich ist tot") handelte von einem jungen Ägypter, der von zwei Polizisten des Mubarak-Regimes zu Tode geprügelt wurde. In der Laudatio hieß es, "da hat einer heraufziehen sehen, was einige Zeit später die ganze Welt bewegt. Mehr genialisch anmutende Vorausahnung kann man von einem Journalisten nicht erwarten”.</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Columbus-Förderpreis der Vereinigung deutscher Reisejournalisten (2006)</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Meridian-Journalistenpreis (2011)</w:t>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Hansel-Mieth-Preis (2012): erster Preis für die Reportage "Guantánamo" (zusammen mit einem Team des Magazins Stern)</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Johann-Gottfried-Seume-Literaturpreis: lobende Erwähnung (2015)</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Piazza Grande Religion Journalism Award der "International Association of Religion Journalists": lobende Erwähnung (2020).</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NETZWERKE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Kathryn W. Davis – Fellowship for Peace</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Bucerius-Summer-School (2010)</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EUMEF (EU-Middle East Forum) der DGAP (Deutsche Gesellschaft für Auswärtige Politik)</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IJP (Internationale Journalistenprogramme)</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Trialog der Kulturen (Herbert-Quandt-Stiftung)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